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520" w:x="529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DESIFOR-ONE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5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22" w:x="460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Ethanolamin;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Quaternäre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Ammoniumverbindungen,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Benzyl-C12-16-alkyldimethyl-,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Chloride;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22" w:x="460" w:y="25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N-(3-Aminopropyl)-N-dodecylpropan-1,3-diamin;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2-Phenoxyethanol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30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3320" w:y="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702" w:x="460" w:y="4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Gesundheitsschädlich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702" w:x="460" w:y="44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Wasserorganismen.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Wasserorganismen,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9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3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357" w:x="1592" w:y="5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Vorsicht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öffnen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handhaben.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Restmengen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Aufbewahrungsgefässe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zurückgeben.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7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3" w:x="1592" w:y="7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75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3" w:x="1592" w:y="75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75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Naturlatex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75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7917" w:x="1592" w:y="8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3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8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8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8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8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18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918" w:x="1592" w:y="10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8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05" w:x="1592" w:y="111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5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54" w:x="1592" w:y="12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3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32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43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52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366</Words>
  <Characters>3131</Characters>
  <Application>Aspose</Application>
  <DocSecurity>0</DocSecurity>
  <Lines>57</Lines>
  <Paragraphs>57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3440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2021-10-21T09:26:52+02:00</dcterms:created>
  <dcterms:modified xmlns:xsi="http://www.w3.org/2001/XMLSchema-instance" xmlns:dcterms="http://purl.org/dc/terms/" xsi:type="dcterms:W3CDTF">2021-10-21T09:26:52+02:00</dcterms:modified>
</coreProperties>
</file>