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50" w:x="508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OXYGEN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520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20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Wasserstoffperoxid-Lösung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059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059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Fremdstoffen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sorgfältig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Schmutz,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Rost,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Alkalien,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Beschleunigern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fernhalten.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Aufbewahrungsgefässe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zurückgeben.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Lösungsmittel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können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Chlorgase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entstehen.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Exotherme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Reaktion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möglich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Brennbare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Reduktionsmittel.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7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10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10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10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10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83" w:x="1592" w:y="11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183" w:x="1592" w:y="110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808" w:x="1592" w:y="11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9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2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2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32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3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3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42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55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393</Words>
  <Characters>3311</Characters>
  <Application>Aspose</Application>
  <DocSecurity>0</DocSecurity>
  <Lines>60</Lines>
  <Paragraphs>60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2020-03-04T14:27:08+01:00</dcterms:created>
  <dcterms:modified xmlns:xsi="http://www.w3.org/2001/XMLSchema-instance" xmlns:dcterms="http://purl.org/dc/terms/" xsi:type="dcterms:W3CDTF">2020-03-04T14:27:08+01:00</dcterms:modified>
</coreProperties>
</file>